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ортопедическая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02:58 МСК · База обновлена: 23.07.2026, 02:53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ортопедическая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стоматологическую клинику обратилась пациентка А. 28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изменение цвета,</w:t>
      </w:r>
    </w:p>
    <w:p>
      <w:pPr>
        <w:spacing w:after="58"/>
      </w:pPr>
      <w:r>
        <w:rPr>
          <w:b w:val="0"/>
          <w:i w:val="0"/>
        </w:rPr>
        <w:t>* наличие пятен на фронтальных зубах верхней челюсти.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Пятна на 1.1, 2.1 зубах появились с момента прорезывания.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Работает.</w:t>
      </w:r>
    </w:p>
    <w:p>
      <w:pPr>
        <w:spacing w:after="58"/>
      </w:pPr>
      <w:r>
        <w:rPr>
          <w:b w:val="0"/>
          <w:i w:val="0"/>
        </w:rPr>
        <w:t>* Росла и развивалась соответственно возрасту.</w:t>
      </w:r>
    </w:p>
    <w:p>
      <w:pPr>
        <w:spacing w:after="58"/>
      </w:pPr>
      <w:r>
        <w:rPr>
          <w:b w:val="0"/>
          <w:i w:val="0"/>
        </w:rPr>
        <w:t>* Со слов пациентки, туберкулез, ВИЧ, Гепатит, отрицает.</w:t>
      </w:r>
    </w:p>
    <w:p>
      <w:pPr>
        <w:spacing w:after="58"/>
      </w:pPr>
      <w:r>
        <w:rPr>
          <w:b w:val="0"/>
          <w:i w:val="0"/>
        </w:rPr>
        <w:t>* Аллергические реакции отрицает.</w:t>
      </w:r>
    </w:p>
    <w:p>
      <w:pPr>
        <w:spacing w:after="58"/>
      </w:pPr>
      <w:r>
        <w:rPr>
          <w:b w:val="0"/>
          <w:i w:val="0"/>
        </w:rPr>
        <w:t>* Вредные привычки - курит.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регионарные лимфатические узлы не пальпируются.</w:t>
      </w:r>
    </w:p>
    <w:p>
      <w:pPr>
        <w:spacing w:after="58"/>
      </w:pPr>
      <w:r>
        <w:rPr>
          <w:b w:val="0"/>
          <w:i w:val="0"/>
        </w:rPr>
        <w:t>*Осмотр полости рта.*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</w:tblGrid>
      <w:tr>
        <w:trPr>
          <w:tblHeader w:val="true"/>
        </w:trPr>
        <w:tc>
          <w:tcPr>
            <w:tcW w:type="dxa" w:w="632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632"/>
          </w:tcPr>
          <w:p>
            <w:r>
              <w:rPr>
                <w:b/>
                <w:i w:val="0"/>
              </w:rPr>
              <w:t>К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</w:tr>
      <w:tr>
        <w:tc>
          <w:tcPr>
            <w:tcW w:type="dxa" w:w="632"/>
          </w:tcPr>
          <w:p>
            <w:r>
              <w:rPr>
                <w:b w:val="0"/>
                <w:i w:val="0"/>
              </w:rPr>
              <w:t>1.8|1.7|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1.4|1.3|1.2|1.1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2.1|2.2|2.3|2.4|2.5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2.6|2.7|2.8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4.8|4.7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4.6|4.5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4.4|4.3|4.2|4.1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3.1|3.2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3.3|3.4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3.5|3.6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3.7|3.8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</w:tr>
      <w:tr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Слизистая оболочка рта бледно-розового цвета, умеренно увлажнена.</w:t>
      </w:r>
    </w:p>
    <w:p>
      <w:pPr>
        <w:spacing w:after="58"/>
      </w:pPr>
      <w:r>
        <w:rPr>
          <w:b w:val="0"/>
          <w:i w:val="0"/>
        </w:rPr>
        <w:t>*Прикус:* ортогнатический.</w:t>
      </w:r>
    </w:p>
    <w:p>
      <w:pPr>
        <w:spacing w:after="58"/>
      </w:pPr>
      <w:r>
        <w:rPr>
          <w:b w:val="0"/>
          <w:i w:val="0"/>
        </w:rPr>
        <w:t>*Локальный статус:*</w:t>
      </w:r>
    </w:p>
    <w:p>
      <w:pPr>
        <w:spacing w:after="58"/>
      </w:pPr>
      <w:r>
        <w:rPr>
          <w:b w:val="0"/>
          <w:i w:val="0"/>
        </w:rPr>
        <w:t>на 1.1, 2.1 зубах имеются множественные меловидные пятна. Отмечаются борозды на вестибулярной части зуба.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выбора тактики лечения данной пациентки необходимо использовать дополнительные методы обследования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электроодонтометрию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электромиографию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внутриротовую контактную рентгенографию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телерентгенографию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аксиографию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электроодонтометрию; 3 — внутриротовую контактную рентгенографию</w:t>
      </w:r>
    </w:p>
    <w:p>
      <w:pPr>
        <w:ind w:left="504"/>
      </w:pPr>
      <w:r>
        <w:rPr>
          <w:b w:val="0"/>
          <w:i/>
        </w:rPr>
        <w:t>Проводят при наличии патологической стираемости, клиновидных дефектах, расширении периодонтальной щели, вторичной деформации зубных рядов и т. д., перед началом препарирования зубов под коронки для определения необходимости депульпирования. При работе с зубами с витальной пульпой электроодонтодиагностику необходимо проводить до начала лечения, не ранее чем через три дня после препарирования и перед фиксацией несъемной конструкции на постоянный цемент для определения необходимости депульпирования при развитии воспалительного процесса в результате препарирования</w:t>
        <w:br/>
        <w:br/>
        <w:t>Клинические рекомендации (протоколы лечения) «Частичное отсутствие зубов (частичная вторичная адентия, потеря зубов вследствие несчастного случая, удаления или локализованного пародонтита)»</w:t>
        <w:br/>
        <w:t xml:space="preserve"> Утверждены Постановлением № 15 Совета Ассоциации общественных объединений «Стоматологическая Ассоциация России» от 30 сентября 2014 года</w:t>
        <w:br/>
        <w:br/>
      </w:r>
      <w:hyperlink r:id="rId21">
        <w:r>
          <w:rPr>
            <w:color w:val="173C49"/>
            <w:u w:val="single"/>
          </w:rPr>
          <w:t>КЛИНИЧЕСКИЕ РЕКОМЕНДАЦИИ (ПРОТОКОЛЫ ЛЕЧЕНИЯ) ПРИ ДИАГНОЗЕ ЧАСТИЧНОЕ ОТСУТСТВИЕ ЗУБОВ (ЧАСТИЧНАЯ ВТОРИЧНАЯ АДЕНТИЯ, ПОТЕРЯ ЗУБОВ ВСЛЕДСТВИЕ НЕСЧАСТНО ГО СЛУЧАЯ, УДАЛЕНИЯ ИЛИ ЛОКАЛИЗОВАННОГО ПАРОДОНТИТА) Утверждены Постановлением № 15 Совета Ассоциации общественных объединений «Стоматологическая Ассоциация России» от 30 сентября 2014 года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 xml:space="preserve">Для помощи в постановке диагноза. Помогает выявить воспалительный процесс, протекающий в области верхушек корней зубов. 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диагнозом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Наследственные нарушения структуры зуба, не классифицированные в других рубриках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Нарушения формирования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Крапчатые зубы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Кариес эмали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Нарушения формирования зубов</w:t>
      </w:r>
    </w:p>
    <w:p>
      <w:pPr>
        <w:ind w:left="504"/>
      </w:pPr>
      <w:r>
        <w:rPr>
          <w:b w:val="0"/>
          <w:i/>
        </w:rPr>
        <w:t>Гипоплазия (hypoplasia) - порок развития, заключающийся в недоразвитии зуба или его тканей</w:t>
        <w:br/>
        <w:br/>
        <w:t>Терапевтическая стоматология : национальное руководство / под ред. Л. А. Дмитриевой, Ю. М. Максимовского. - 2-е изд., перераб. и доп. - Москва : ГЭОТАР-Медиа, 2021 ISBN 978-5-9704-6097-9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оптимальным вариантом ортопедического лечения 1.1, 2.1 зубов в данной клинической ситуации является изготовление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бюгельного протеза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керамических виниров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керамической вкладки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культевой штифтовой вкладки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керамических виниров</w:t>
      </w:r>
    </w:p>
    <w:p>
      <w:pPr>
        <w:ind w:left="504"/>
      </w:pPr>
      <w:r>
        <w:rPr>
          <w:b w:val="0"/>
          <w:i/>
        </w:rPr>
        <w:t>Виниры устанавливаются только на фронтальные зубы с целью восстановления эстетики зубного ряда.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показанию для применения виниров у данной пациентки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эстетические дефекты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генерализованный пародонтит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частичную вторичную адентию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полный дефект коронковой части зуба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эстетические дефекты зубов</w:t>
      </w:r>
    </w:p>
    <w:p>
      <w:pPr>
        <w:ind w:left="504"/>
      </w:pPr>
      <w:r>
        <w:rPr>
          <w:b w:val="0"/>
          <w:i/>
        </w:rPr>
        <w:t>Показаниями к применению виниров являются эстетические дефекты зубов три наличии достаточной площади сохранившейся эмали.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изготовлении виниров в данной клинической ситуации препарирование тканей зуба проводится в пределах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дентина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эмали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пульпы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эмали</w:t>
      </w:r>
    </w:p>
    <w:p>
      <w:pPr>
        <w:ind w:left="504"/>
      </w:pPr>
      <w:r>
        <w:rPr>
          <w:b w:val="0"/>
          <w:i/>
        </w:rPr>
        <w:t>При изготовлении виниров препарирование тканей зуба проводится только в пределах эмали.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препарировании зуба для изготовления винира сошлифовывают +________+ мм твёрдых тканей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0,8-0,9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0,3-1,0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0,9-1,0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0,1-0,2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0,3-1,0</w:t>
      </w:r>
    </w:p>
    <w:p>
      <w:pPr>
        <w:ind w:left="504"/>
      </w:pPr>
      <w:r>
        <w:rPr>
          <w:b w:val="0"/>
          <w:i/>
        </w:rPr>
        <w:t>При препарировании следует обращать особое внимание на глубину: сошлифовывают 0,3-1,0 мм твёрдых тканей зуба.</w:t>
        <w:br/>
        <w:br/>
        <w:t>Ортопедическая стоматология. Том 1 : национальное руководство : в 2 т. / под ред. И.Ю. Лебеденко, С.Д. Арутюнова, А.Н. Ряховского. - 2-е изд. , перераб. и доп. - Москва : ГЭОТАР-Медиа, 2022. - 520 с. (Серия "Национальные руководства") - ISBN 978-5-9704-6366-6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изготовления виниров пациентка может выбрать керамику или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базисную пластмассу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моделировочный воск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беззольную пластмассу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композитные материалы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композитные материалы</w:t>
      </w:r>
    </w:p>
    <w:p>
      <w:pPr>
        <w:ind w:left="504"/>
      </w:pPr>
      <w:r>
        <w:rPr>
          <w:b w:val="0"/>
          <w:i/>
        </w:rPr>
        <w:t>Виниры изготавливаются из стоматологической керамики или композитных материалов.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снятия оттиска при изготовлении виниров в данной клинической ситуации будут использовать +_____________+ оттискные массы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силиконовые двухслойные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термопластические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цинкоксидэвгенольные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тиоколовые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силиконовые двухслойные</w:t>
      </w:r>
    </w:p>
    <w:p>
      <w:pPr>
        <w:ind w:left="504"/>
      </w:pPr>
      <w:r>
        <w:rPr>
          <w:b w:val="0"/>
          <w:i/>
        </w:rPr>
        <w:t>При изготовлении виниров используют силиконовые двухслойные оттискные массы.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изготовлении керамических виниров оттиск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двухэтапный однослойный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функциональный однослойный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одноэтапный однослойный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одноэтапный двуслойный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одноэтапный двуслойный</w:t>
      </w:r>
    </w:p>
    <w:p>
      <w:pPr>
        <w:ind w:left="504"/>
      </w:pPr>
      <w:r>
        <w:rPr>
          <w:b w:val="0"/>
          <w:i/>
        </w:rPr>
        <w:t>Одноэтапный метод можно эффективно использовать при наддесневом расположении границ препарирования. Широкое распространение этот метод получил при микропротезировании.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фиксации виниров в данной клинической ситуации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цинкполикарбоксилатный цемент химического отверждения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цинкфосфатный цемент химического отверждения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композитный материал двойного отверждения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стеклоиономерный цемент химического отверждения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композитный материал двойного отверждения</w:t>
      </w:r>
    </w:p>
    <w:p>
      <w:pPr>
        <w:ind w:left="504"/>
      </w:pPr>
      <w:r>
        <w:rPr>
          <w:b w:val="0"/>
          <w:i/>
        </w:rPr>
        <w:t>Проводится фиксация винира на композитный материал для цементирования двойного отверждения.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цементировки виниров у пациентки используют фиксацию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винтовую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адгезивную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самоадгезивную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традиционную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адгезивную</w:t>
      </w:r>
    </w:p>
    <w:p>
      <w:pPr>
        <w:ind w:left="504"/>
      </w:pPr>
      <w:r>
        <w:rPr>
          <w:b w:val="0"/>
          <w:i/>
        </w:rPr>
        <w:t>Для фиксации виниров необходимо использовать исключительно адгезивную фиксацию, поскольку препарирование в этом случае не является ретенционным.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Анализ окклюзионно-мышечной нагрузки   в данной клинической ситуации после фиксации виниров проводят с помощью синхронизированных аппаратов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Reference SL и MIO-STIM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T-scan и MIO-STIM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BioPak-ЭМГ и Reference SL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T-scan и BioPak-ЭМГ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T-scan и BioPak-ЭМГ</w:t>
      </w:r>
    </w:p>
    <w:p>
      <w:pPr>
        <w:ind w:left="504"/>
      </w:pPr>
      <w:r>
        <w:rPr>
          <w:b w:val="0"/>
          <w:i/>
        </w:rPr>
        <w:t>После фиксации несъёмных конструкций на постоянный цемент приступают к анализу окклюзионно-мышечной нагрузки с помощью синхронизированных аппаратов T-scan и BioPak-ЭМГ.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ортопедическая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7_part_absent/" TargetMode="External"/><Relationship Id="rId22" Type="http://schemas.openxmlformats.org/officeDocument/2006/relationships/hyperlink" Target="https://library.mededtech.ru/rest/documents/7_part_absent/index.html#paragraph_dbbvq" TargetMode="External"/><Relationship Id="rId23" Type="http://schemas.openxmlformats.org/officeDocument/2006/relationships/hyperlink" Target="https://library.mededtech.ru/rest/documents/ISBN9785970435823/?anchor=paragraph_t51ldc#paragraph_t51ldc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ISBN9785970460979/?anchor=&#1053;&#1040;&#1056;&#1059;&#1064;&#1045;&#1053;&#1048;&#1071;_&#1060;&#1054;&#1056;&#1052;&#1048;&#1056;&#1054;&#1042;&#1040;&#1053;&#1048;&#1071;_&#1047;&#1059;&#1041;&#1054;&#1042;#&#1053;&#1040;&#1056;&#1059;&#1064;&#1045;&#1053;&#1048;&#1071;_&#1060;&#1054;&#1056;&#1052;&#1048;&#1056;&#1054;&#1042;&#1040;&#1053;&#1048;&#1071;_&#1047;&#1059;&#1041;&#1054;&#1042;" TargetMode="External"/><Relationship Id="rId26" Type="http://schemas.openxmlformats.org/officeDocument/2006/relationships/hyperlink" Target="https://library.mededtech.ru/rest/documents/ISBN9785970435823/?anchor=paragraph_ga8r6d#paragraph_ga8r6d" TargetMode="External"/><Relationship Id="rId27" Type="http://schemas.openxmlformats.org/officeDocument/2006/relationships/hyperlink" Target="https://library.mededtech.ru/rest/documents/ISBN9785970463673/?anchor=&#1055;&#1086;&#1082;&#1072;&#1079;&#1072;&#1085;&#1080;&#1103;_8#&#1055;&#1086;&#1082;&#1072;&#1079;&#1072;&#1085;&#1080;&#1103;_8" TargetMode="External"/><Relationship Id="rId28" Type="http://schemas.openxmlformats.org/officeDocument/2006/relationships/hyperlink" Target="https://library.mededtech.ru/rest/documents/ISBN9785970435823/?anchor=paragraph_ndvem6#paragraph_ndvem6" TargetMode="External"/><Relationship Id="rId29" Type="http://schemas.openxmlformats.org/officeDocument/2006/relationships/hyperlink" Target="https://library.mededtech.ru/rest/documents/ISBN9785970463666/?anchor=paragraph_v690jf#paragraph_v690jf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ISBN9785970463673/?anchor=paragraph_6b9co2#paragraph_6b9co2" TargetMode="External"/><Relationship Id="rId32" Type="http://schemas.openxmlformats.org/officeDocument/2006/relationships/hyperlink" Target="https://library.mededtech.ru/rest/documents/ISBN9785970463673/?anchor=paragraph_0vq8cs#paragraph_0vq8cs" TargetMode="External"/><Relationship Id="rId33" Type="http://schemas.openxmlformats.org/officeDocument/2006/relationships/hyperlink" Target="https://library.mededtech.ru/rest/documents/ISBN9785970463673/?anchor=list_item_hjin8o#list_item_hjin8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